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A2" w:rsidRDefault="00000DA2" w:rsidP="00831DC5">
      <w:pPr>
        <w:jc w:val="center"/>
        <w:rPr>
          <w:rFonts w:ascii="Times New Roman" w:hAnsi="Times New Roman"/>
          <w:sz w:val="28"/>
        </w:rPr>
      </w:pPr>
    </w:p>
    <w:p w:rsidR="00000DA2" w:rsidRPr="00831DC5" w:rsidRDefault="00000DA2" w:rsidP="00831DC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000DA2" w:rsidRPr="006D12F2" w:rsidRDefault="00000DA2" w:rsidP="001B5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00DA2" w:rsidRDefault="00000DA2">
      <w:pPr>
        <w:sectPr w:rsidR="00000DA2" w:rsidSect="00913B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0DA2" w:rsidRPr="00627B50" w:rsidRDefault="00000DA2" w:rsidP="00913BD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27B50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1. ПОЯСНИТЕЛЬНАЯ ЗАПИСКА</w:t>
      </w:r>
    </w:p>
    <w:p w:rsidR="00000DA2" w:rsidRPr="001B5C71" w:rsidRDefault="00000DA2" w:rsidP="001B5C71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Рабочая программ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Программой  для общеобразовательных учреждений.  «Мировая художественная культура» 5-11 </w:t>
      </w:r>
      <w:proofErr w:type="spellStart"/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 (Сост.: Данилова Г.И. - М.: «Дрофа», 2009) и обеспечена УМК для 10 классов Данилова Г.И. Мировая художественная культура: От истоков до XVII века. 10 класс: Базо</w:t>
      </w:r>
      <w:r w:rsidR="00AE3E49">
        <w:rPr>
          <w:rFonts w:ascii="Times New Roman" w:hAnsi="Times New Roman"/>
          <w:color w:val="000000"/>
          <w:sz w:val="24"/>
          <w:szCs w:val="24"/>
          <w:lang w:eastAsia="ru-RU"/>
        </w:rPr>
        <w:t>вый уровень. – М.: «Дрофа», 2018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Изучение мировой художественной культуры на ступени среднего  общего образования на базовом уровне направлено на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выполнение следующих задач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00DA2" w:rsidRPr="00FC3FC0" w:rsidRDefault="00000DA2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000DA2" w:rsidRPr="00FC3FC0" w:rsidRDefault="00000DA2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000DA2" w:rsidRPr="00FC3FC0" w:rsidRDefault="00000DA2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00DA2" w:rsidRPr="00FC3FC0" w:rsidRDefault="00000DA2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00DA2" w:rsidRPr="00FC3FC0" w:rsidRDefault="00000DA2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освоения курса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000DA2" w:rsidRPr="00FC3FC0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Курс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мировой художественной культуры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уроках 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изобразительного искусства, музыки, литературы и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0DA2" w:rsidRPr="00FC3FC0" w:rsidRDefault="00000DA2" w:rsidP="00913BDC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C3FC0">
        <w:rPr>
          <w:rFonts w:ascii="Times New Roman" w:hAnsi="Times New Roman"/>
          <w:b/>
          <w:i/>
          <w:sz w:val="24"/>
          <w:szCs w:val="24"/>
        </w:rPr>
        <w:t xml:space="preserve">УМК по </w:t>
      </w:r>
      <w:r>
        <w:rPr>
          <w:rFonts w:ascii="Times New Roman" w:hAnsi="Times New Roman"/>
          <w:b/>
          <w:i/>
          <w:sz w:val="24"/>
          <w:szCs w:val="24"/>
        </w:rPr>
        <w:t xml:space="preserve">искусству (МХК) </w:t>
      </w:r>
    </w:p>
    <w:p w:rsidR="00000DA2" w:rsidRPr="001B5C71" w:rsidRDefault="00000DA2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Данилова Г.И.  Искусство. Мировая художественная культура: от истоков до XVII века. 10 класс: учебник для общеобразовательных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учреждений.  - М.; Дрофа, 2016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Pr="001B5C71" w:rsidRDefault="00000DA2" w:rsidP="001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          </w:t>
      </w:r>
      <w:r w:rsidRPr="001B5C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Default="00000DA2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00DA2" w:rsidRDefault="00AE3E49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на 2020-2021</w:t>
      </w:r>
      <w:bookmarkStart w:id="0" w:name="_GoBack"/>
      <w:bookmarkEnd w:id="0"/>
      <w:r w:rsidR="00000DA2" w:rsidRPr="00FC3FC0">
        <w:rPr>
          <w:rFonts w:ascii="Times New Roman" w:hAnsi="Times New Roman"/>
          <w:sz w:val="24"/>
          <w:szCs w:val="24"/>
        </w:rPr>
        <w:t xml:space="preserve"> учебный год на </w:t>
      </w:r>
      <w:proofErr w:type="gramStart"/>
      <w:r w:rsidR="00000DA2" w:rsidRPr="00FC3FC0">
        <w:rPr>
          <w:rFonts w:ascii="Times New Roman" w:hAnsi="Times New Roman"/>
          <w:sz w:val="24"/>
          <w:szCs w:val="24"/>
        </w:rPr>
        <w:t>изучение  Искусства</w:t>
      </w:r>
      <w:proofErr w:type="gramEnd"/>
      <w:r w:rsidR="00000DA2" w:rsidRPr="00FC3FC0">
        <w:rPr>
          <w:rFonts w:ascii="Times New Roman" w:hAnsi="Times New Roman"/>
          <w:sz w:val="24"/>
          <w:szCs w:val="24"/>
        </w:rPr>
        <w:t xml:space="preserve"> ( МХК)  в 10 классе</w:t>
      </w:r>
      <w:r w:rsidR="00000DA2">
        <w:rPr>
          <w:rFonts w:ascii="Times New Roman" w:hAnsi="Times New Roman"/>
          <w:sz w:val="24"/>
          <w:szCs w:val="24"/>
        </w:rPr>
        <w:t xml:space="preserve">  отводится  1 час в неделю ( 34</w:t>
      </w:r>
      <w:r w:rsidR="00000DA2" w:rsidRPr="00FC3FC0">
        <w:rPr>
          <w:rFonts w:ascii="Times New Roman" w:hAnsi="Times New Roman"/>
          <w:sz w:val="24"/>
          <w:szCs w:val="24"/>
        </w:rPr>
        <w:t xml:space="preserve"> часов в год.). </w:t>
      </w:r>
    </w:p>
    <w:p w:rsidR="00000DA2" w:rsidRDefault="00000DA2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F0AB4">
        <w:rPr>
          <w:rFonts w:ascii="Times New Roman" w:hAnsi="Times New Roman"/>
          <w:b/>
          <w:i/>
          <w:sz w:val="24"/>
          <w:szCs w:val="24"/>
        </w:rPr>
        <w:t>2. СОДЕРЖАНИЕ УЕБНОГО ПРЕДМЕТА</w:t>
      </w:r>
    </w:p>
    <w:p w:rsidR="00000DA2" w:rsidRPr="00FC3FC0" w:rsidRDefault="00000DA2" w:rsidP="00913BD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D0E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Художественная культура первобытного общества и древнейших цивилизаций (5 часов)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первобытного человека.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Альтамиры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Древней Передней Азии.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Возникновение письменности. Библиотека царя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Ашшурбанипала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Зиккураты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Древнего Египта.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Карнаке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Луксоре.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и музыка Древнего Египта.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Искусство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Мезоамерики</w:t>
      </w:r>
      <w:proofErr w:type="spellEnd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Важнейшие культурные достижения цивилизации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ольмеков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Искусство Античности  (6 часов).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Эгейское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Кносский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Кносского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дворца. Вазопись стиля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Камарес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Архитектурный облик Древней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Эллады.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Архитектура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Древней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Греции.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Шедевры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Архитектурные достижения Древнего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Форум. Инженерные сооружение. Архитектурный облик Колизея и Пантеона. Триумфальные арки. Термы.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Древнего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Театр и музыка </w:t>
      </w:r>
      <w:proofErr w:type="spellStart"/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Античности.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Трагики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Искусство Средних веков (10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часов).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Мир византийского искусства.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западноевропейского Средневековья.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Средних веков.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Средних веков.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Киевской Руси.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русского регионального искусства.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единого Российского государства.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архитектурного ансамбля Московского Кремля. Новизна архитектурного решения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Блаженного) — архитектурная жемчужина Москвы. Создание нового типа каменного шатрового храма (церковь Вознесения в Коломенском). Характерные особенности архитектуры 17 века. Мастерство деревянного зодчества. Творчество Симона Ушакова.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Древней Руси.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Многораспевность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 Светская музыка и наиболее популярные инструменты.</w:t>
      </w:r>
    </w:p>
    <w:p w:rsidR="00000DA2" w:rsidRPr="003D0E05" w:rsidRDefault="00000DA2" w:rsidP="003D0E05">
      <w:pPr>
        <w:rPr>
          <w:rFonts w:ascii="Times New Roman" w:hAnsi="Times New Roman"/>
          <w:sz w:val="28"/>
          <w:szCs w:val="28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D0E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Искусство средневекового Востока (4 часа).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Индии.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Ступа — один из древнейших типов культовых сооружений буддизма. Пещерные храмы для моления (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чайтьи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Богатство и роскошь скульптурного убранства. Проникновение к архитектуру мусульманских традиций. Росписи в пещерных храмах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Аджанты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 Миниатюрная живопись Индии. Истоки индийской музыки. Спектакль как единство музыки, пения и танца.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Китая.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Страны восходящего солнца.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исламских стран.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000DA2" w:rsidRPr="00913BDC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Искусство Возрождения (8 часов).</w:t>
      </w:r>
    </w:p>
    <w:p w:rsidR="00000DA2" w:rsidRPr="00FC3FC0" w:rsidRDefault="00000DA2" w:rsidP="00CB6C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Проторенессанса и Раннего Возрождения.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 Характерные особенности и значение творчества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Джотто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итальянского Возрождения.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Собор Санта-Мария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Фьоре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Браманте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Титаны Высокого Возрождения.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Художественный мир Леонардо да Винчи. Бунтующий гений Микеланджело. Рафаэль —  «первый среди великих».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Мастера венецианской живописи.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Искусство Северного Возрождения.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Ренессанс в архитектуре Северной Европы. Живопись нидерландских и немецких мастеров. Братья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Хуберт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Ян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ван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Эйк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Музыка и театр эпохи Возрождения.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Pr="00CB6CF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620BD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tbl>
      <w:tblPr>
        <w:tblW w:w="14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12239"/>
        <w:gridCol w:w="1560"/>
      </w:tblGrid>
      <w:tr w:rsidR="00000DA2" w:rsidRPr="0021405D" w:rsidTr="00F12DF7">
        <w:trPr>
          <w:gridAfter w:val="2"/>
          <w:wAfter w:w="13799" w:type="dxa"/>
        </w:trPr>
        <w:tc>
          <w:tcPr>
            <w:tcW w:w="0" w:type="auto"/>
            <w:shd w:val="clear" w:color="auto" w:fill="FFFFFF"/>
            <w:vAlign w:val="center"/>
          </w:tcPr>
          <w:p w:rsidR="00000DA2" w:rsidRPr="00F12DF7" w:rsidRDefault="00000DA2" w:rsidP="00F12DF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1.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ДРЕВНЕЙШИХ ЦИВИЛИЗАЦИЙ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2.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3.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СРЕДНЕВЕКОВЬЯ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4. СРЕДНЕВЕКОВАЯ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ВОСТОКА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5.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000DA2" w:rsidRPr="003D0E05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00DA2" w:rsidRDefault="00000DA2" w:rsidP="00FC3FC0"/>
    <w:p w:rsidR="00000DA2" w:rsidRDefault="00000DA2" w:rsidP="00FC3FC0"/>
    <w:p w:rsidR="00000DA2" w:rsidRDefault="00000DA2" w:rsidP="00FC3FC0"/>
    <w:p w:rsidR="00000DA2" w:rsidRDefault="00000DA2" w:rsidP="007F076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КАЛЕНДАРНО – ТЕМАТИЧЕСКОЕ ПЛАНИРОВАНИЕ ПО МХК  10 КЛАСС – 35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288"/>
        <w:gridCol w:w="1440"/>
        <w:gridCol w:w="1690"/>
        <w:gridCol w:w="1910"/>
        <w:gridCol w:w="1800"/>
      </w:tblGrid>
      <w:tr w:rsidR="00000DA2" w:rsidRPr="0021405D" w:rsidTr="00226828">
        <w:tc>
          <w:tcPr>
            <w:tcW w:w="560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40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710" w:type="dxa"/>
            <w:gridSpan w:val="2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00DA2" w:rsidRPr="0021405D" w:rsidTr="00226828">
        <w:tc>
          <w:tcPr>
            <w:tcW w:w="56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1 ХУДОЖЕСТВЕННАЯ КУЛЬТУРА ПЕРВОБЫТНОГО ОБЩЕСТВА И ДРЕВНИХ ЦИВИЛИЗАЦИЙ (5ч)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Искусство первобытного человека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Древней Передней Азии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21405D">
              <w:rPr>
                <w:rFonts w:ascii="Times New Roman" w:hAnsi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ХУДОЖЕСТВЕННАЯ КУЛЬТУРА АНТИЧНОСТИ (6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Архитектурный облик Древней Эллады.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Архитектурные достижения и Древнего Рима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Театральное искусство и музыка Античности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Разде3. ХУДОЖЕСТВЕННАЯ КУЛЬТУРА СРЕДНЕВЕКОВЬЯ  (10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Театральное искусство и музыка Средних веков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Киевской Руси 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Театр и музыка  Средневековой Руси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5. СРЕДНЕВЕКОВАЯ КУЛЬТУРА ВОСТОКА  (4 часа)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Индии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rPr>
          <w:trHeight w:val="397"/>
        </w:trPr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6. ХУДОЖЕСТВЕННАЯ КУЛЬТУРА ВОЗРОЖДЕНИЯ (8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Титаны Высокого Возрождения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Обобщение по теме года: « От истоков до XVII века»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DA2" w:rsidRDefault="00000DA2" w:rsidP="00CB6CF2">
      <w:pPr>
        <w:rPr>
          <w:rFonts w:ascii="Times New Roman" w:hAnsi="Times New Roman"/>
          <w:b/>
          <w:i/>
          <w:sz w:val="24"/>
          <w:szCs w:val="24"/>
        </w:rPr>
      </w:pPr>
    </w:p>
    <w:p w:rsidR="00000DA2" w:rsidRPr="00CB6CF2" w:rsidRDefault="00000DA2" w:rsidP="00CB6CF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B6CF2">
        <w:rPr>
          <w:rFonts w:ascii="Times New Roman" w:hAnsi="Times New Roman"/>
          <w:b/>
          <w:i/>
          <w:sz w:val="24"/>
          <w:szCs w:val="24"/>
        </w:rPr>
        <w:t>5.ПЛАНИРУЕМЫЕ РЕЗУЛЬТАТЫ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t>Личностные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подразумевают: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обогащение духовного мира на основе присвоения художественного опыта человечества;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инициативность и самостоятельность в решении разно уровневых учебно-творческих задач;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активность по отношению к личностным достижениям в области разных видов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участие в учебном сотрудничестве и творческой деятель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softHyphen/>
        <w:t>ности на основе уважения к художественным интересам сверстников.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lastRenderedPageBreak/>
        <w:t>Метапредметные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отражают: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самостоятельность при организации содержательного и увлекательного культурного досуга;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соответствующий возрасту уровень духовной культуры и уравновешенность эмоционально-волевой сферы;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оригинальный, творческий подход к решению различных учебных и реальных, жизненных проблем;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расширение сферы познавательных интересов, гармоничное интеллектуально-творческое развитие;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усвоение культурных традиций, нравственных эталонов и  норм социального поведения;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t>Предметные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включают: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обобщенное понимание художественных явлений действительности во всем их многообразии;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общее представление о природе искусств и специфике выразительных средств отдельных его видов;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освоение знаний о выдающихся деятелях отечественного и зарубежного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многообразный опыт художественно-творческой деятельности в разных видах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участие в разработке и реализации художественно-творческих проектов класса, школы и др.;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000DA2" w:rsidRPr="00CB6CF2" w:rsidRDefault="00000DA2" w:rsidP="00CB6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000DA2" w:rsidRPr="00CB6CF2" w:rsidRDefault="00000DA2" w:rsidP="00CB6CF2">
      <w:pPr>
        <w:widowControl w:val="0"/>
        <w:suppressAutoHyphens/>
        <w:snapToGrid w:val="0"/>
        <w:spacing w:after="0" w:line="2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классов. </w:t>
      </w:r>
    </w:p>
    <w:p w:rsidR="00000DA2" w:rsidRPr="00184FA9" w:rsidRDefault="00000DA2" w:rsidP="00184FA9">
      <w:pPr>
        <w:widowControl w:val="0"/>
        <w:suppressAutoHyphens/>
        <w:snapToGrid w:val="0"/>
        <w:spacing w:after="0" w:line="274" w:lineRule="atLeast"/>
        <w:ind w:right="-11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Воспитывать </w:t>
      </w:r>
      <w:proofErr w:type="spellStart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эмо</w:t>
      </w:r>
      <w:proofErr w:type="spellEnd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-</w:t>
      </w:r>
      <w:proofErr w:type="spellStart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ционально</w:t>
      </w:r>
      <w:proofErr w:type="spellEnd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-ценностное, заинтересованное отношение к миру, художественно-</w:t>
      </w:r>
      <w:proofErr w:type="spellStart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эстетичес</w:t>
      </w:r>
      <w:proofErr w:type="spellEnd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-кий вкус, </w:t>
      </w:r>
      <w:proofErr w:type="spellStart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эмпатию</w:t>
      </w:r>
      <w:proofErr w:type="spellEnd"/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сопричастность к раз-ли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чным явлениям искусства и жизни.</w:t>
      </w:r>
    </w:p>
    <w:p w:rsidR="00000DA2" w:rsidRPr="00FC3FC0" w:rsidRDefault="00000DA2" w:rsidP="00FC3FC0"/>
    <w:sectPr w:rsidR="00000DA2" w:rsidRPr="00FC3FC0" w:rsidSect="001B5C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3BC0454"/>
    <w:multiLevelType w:val="multilevel"/>
    <w:tmpl w:val="7D0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7131"/>
    <w:multiLevelType w:val="hybridMultilevel"/>
    <w:tmpl w:val="72F47A56"/>
    <w:lvl w:ilvl="0" w:tplc="041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13596A57"/>
    <w:multiLevelType w:val="multilevel"/>
    <w:tmpl w:val="CF5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D32BD"/>
    <w:multiLevelType w:val="multilevel"/>
    <w:tmpl w:val="7F7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06D15"/>
    <w:multiLevelType w:val="multilevel"/>
    <w:tmpl w:val="055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53897"/>
    <w:multiLevelType w:val="multilevel"/>
    <w:tmpl w:val="85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A4454"/>
    <w:multiLevelType w:val="multilevel"/>
    <w:tmpl w:val="175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26150"/>
    <w:multiLevelType w:val="multilevel"/>
    <w:tmpl w:val="FCA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905C2"/>
    <w:multiLevelType w:val="multilevel"/>
    <w:tmpl w:val="21C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63383"/>
    <w:multiLevelType w:val="multilevel"/>
    <w:tmpl w:val="E7C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540"/>
    <w:rsid w:val="00000DA2"/>
    <w:rsid w:val="001533D1"/>
    <w:rsid w:val="00184FA9"/>
    <w:rsid w:val="001B5C71"/>
    <w:rsid w:val="0021405D"/>
    <w:rsid w:val="00226828"/>
    <w:rsid w:val="002D614A"/>
    <w:rsid w:val="002E1471"/>
    <w:rsid w:val="003D0E05"/>
    <w:rsid w:val="004C5540"/>
    <w:rsid w:val="0054020A"/>
    <w:rsid w:val="00627B50"/>
    <w:rsid w:val="006A36DE"/>
    <w:rsid w:val="006D12F2"/>
    <w:rsid w:val="007A2F95"/>
    <w:rsid w:val="007F076F"/>
    <w:rsid w:val="007F4328"/>
    <w:rsid w:val="007F7C53"/>
    <w:rsid w:val="00803D70"/>
    <w:rsid w:val="00831DC5"/>
    <w:rsid w:val="008B5D3C"/>
    <w:rsid w:val="008F0AB4"/>
    <w:rsid w:val="00904A96"/>
    <w:rsid w:val="00913BDC"/>
    <w:rsid w:val="00A97B30"/>
    <w:rsid w:val="00AE3E49"/>
    <w:rsid w:val="00B01895"/>
    <w:rsid w:val="00B620BD"/>
    <w:rsid w:val="00BA554B"/>
    <w:rsid w:val="00CB6CF2"/>
    <w:rsid w:val="00D86624"/>
    <w:rsid w:val="00DF3452"/>
    <w:rsid w:val="00F12DF7"/>
    <w:rsid w:val="00F50CF3"/>
    <w:rsid w:val="00FC3FC0"/>
    <w:rsid w:val="00FC7A6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CB34E9"/>
  <w15:docId w15:val="{4A73942D-82C1-4596-BEB7-ACEF0526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B5C71"/>
    <w:rPr>
      <w:rFonts w:cs="Times New Roman"/>
    </w:rPr>
  </w:style>
  <w:style w:type="character" w:customStyle="1" w:styleId="c9">
    <w:name w:val="c9"/>
    <w:uiPriority w:val="99"/>
    <w:rsid w:val="001B5C71"/>
    <w:rPr>
      <w:rFonts w:cs="Times New Roman"/>
    </w:rPr>
  </w:style>
  <w:style w:type="paragraph" w:customStyle="1" w:styleId="c2">
    <w:name w:val="c2"/>
    <w:basedOn w:val="a"/>
    <w:uiPriority w:val="99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5C7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0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913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2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9FD5-E83F-4283-8D31-CC6262B0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8</cp:revision>
  <cp:lastPrinted>2018-09-11T07:26:00Z</cp:lastPrinted>
  <dcterms:created xsi:type="dcterms:W3CDTF">2017-08-01T19:42:00Z</dcterms:created>
  <dcterms:modified xsi:type="dcterms:W3CDTF">2020-08-19T07:44:00Z</dcterms:modified>
</cp:coreProperties>
</file>