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5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2"/>
        <w:gridCol w:w="7612"/>
      </w:tblGrid>
      <w:tr w:rsidR="00D656D6" w:rsidRPr="0013736C" w:rsidTr="00F8468B">
        <w:trPr>
          <w:trHeight w:val="1350"/>
        </w:trPr>
        <w:tc>
          <w:tcPr>
            <w:tcW w:w="7612" w:type="dxa"/>
            <w:hideMark/>
          </w:tcPr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 xml:space="preserve">Рассмотрено </w:t>
            </w:r>
          </w:p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заседании Педагогического совета</w:t>
            </w:r>
          </w:p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 Хмельниковская СОШ</w:t>
            </w:r>
          </w:p>
          <w:p w:rsidR="00D656D6" w:rsidRDefault="00D656D6" w:rsidP="0048075C">
            <w:pPr>
              <w:pStyle w:val="aff1"/>
              <w:ind w:left="0"/>
              <w:rPr>
                <w:b/>
                <w:sz w:val="20"/>
                <w:lang w:val="ru-RU"/>
              </w:rPr>
            </w:pPr>
            <w:r>
              <w:rPr>
                <w:sz w:val="24"/>
                <w:lang w:val="ru-RU"/>
              </w:rPr>
              <w:t>Протокол № 1 от 29.09.2023г.</w:t>
            </w:r>
          </w:p>
        </w:tc>
        <w:tc>
          <w:tcPr>
            <w:tcW w:w="7612" w:type="dxa"/>
          </w:tcPr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УТВЕРЖДАЮ _______________</w:t>
            </w:r>
          </w:p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МОУ Хмельниковская СОШ Т.В.Мироненко</w:t>
            </w:r>
          </w:p>
          <w:p w:rsidR="00D656D6" w:rsidRDefault="00D656D6" w:rsidP="0048075C">
            <w:pPr>
              <w:pStyle w:val="aff1"/>
              <w:ind w:left="0"/>
              <w:rPr>
                <w:sz w:val="24"/>
                <w:lang w:val="ru-RU"/>
              </w:rPr>
            </w:pPr>
          </w:p>
          <w:p w:rsidR="00D656D6" w:rsidRDefault="00D656D6" w:rsidP="0048075C">
            <w:pPr>
              <w:pStyle w:val="aff1"/>
              <w:ind w:left="0"/>
              <w:rPr>
                <w:b/>
                <w:sz w:val="20"/>
                <w:lang w:val="ru-RU"/>
              </w:rPr>
            </w:pPr>
          </w:p>
        </w:tc>
      </w:tr>
    </w:tbl>
    <w:p w:rsidR="00D656D6" w:rsidRDefault="00D656D6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56D6" w:rsidRDefault="00D656D6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Pr="00F8468B" w:rsidRDefault="00D656D6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 w:rsidRPr="00F8468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  <w:t>Дополнение</w:t>
      </w: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Pr="00F8468B" w:rsidRDefault="00D656D6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8468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к Программе развития</w:t>
      </w:r>
    </w:p>
    <w:p w:rsidR="00F8468B" w:rsidRPr="00F8468B" w:rsidRDefault="00D656D6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8468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МОУ Хмельниковская СОШ</w:t>
      </w:r>
    </w:p>
    <w:p w:rsidR="00D656D6" w:rsidRPr="00F8468B" w:rsidRDefault="00D656D6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8468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на 2020-202</w:t>
      </w:r>
      <w:r w:rsidR="00F8468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5 г.г</w:t>
      </w:r>
      <w:r w:rsidRPr="00F8468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</w:t>
      </w:r>
    </w:p>
    <w:p w:rsidR="00F8468B" w:rsidRPr="00F8468B" w:rsidRDefault="00F8468B" w:rsidP="00F8468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Pr="00F8468B" w:rsidRDefault="00F8468B" w:rsidP="00F846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68B" w:rsidRDefault="00F8468B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56D6" w:rsidRDefault="00D656D6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25B2" w:rsidRPr="001A7EA6" w:rsidRDefault="001A7EA6" w:rsidP="00D656D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46"/>
        <w:gridCol w:w="2832"/>
        <w:gridCol w:w="2303"/>
        <w:gridCol w:w="2306"/>
        <w:gridCol w:w="3022"/>
        <w:gridCol w:w="4117"/>
      </w:tblGrid>
      <w:tr w:rsidR="00D656D6" w:rsidRPr="00E1645C" w:rsidTr="00D656D6">
        <w:trPr>
          <w:trHeight w:val="288"/>
          <w:tblHeader/>
        </w:trPr>
        <w:tc>
          <w:tcPr>
            <w:tcW w:w="540" w:type="dxa"/>
            <w:noWrap/>
            <w:hideMark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2" w:type="dxa"/>
            <w:noWrap/>
            <w:hideMark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267" w:type="dxa"/>
            <w:noWrap/>
            <w:hideMark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2270" w:type="dxa"/>
            <w:noWrap/>
            <w:hideMark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844" w:type="dxa"/>
            <w:noWrap/>
            <w:hideMark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4783" w:type="dxa"/>
          </w:tcPr>
          <w:p w:rsidR="00D17018" w:rsidRPr="00E1645C" w:rsidRDefault="00D17018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4783" w:type="dxa"/>
          </w:tcPr>
          <w:p w:rsidR="00D17018" w:rsidRDefault="00D17018" w:rsidP="00D656D6">
            <w:pPr>
              <w:numPr>
                <w:ilvl w:val="0"/>
                <w:numId w:val="1"/>
              </w:numPr>
              <w:ind w:left="241" w:hanging="211"/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</w:t>
            </w:r>
            <w:r w:rsidR="00D656D6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>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D656D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</w:t>
            </w:r>
            <w:r>
              <w:rPr>
                <w:rFonts w:ascii="Times New Roman" w:hAnsi="Times New Roman"/>
              </w:rPr>
              <w:lastRenderedPageBreak/>
              <w:t>лабораторных работ и опытов.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учреждениями дополнительного допобразования, вузами, технопарками, и т. д. по </w:t>
            </w:r>
            <w:r>
              <w:rPr>
                <w:rFonts w:ascii="Times New Roman" w:hAnsi="Times New Roman"/>
              </w:rPr>
              <w:lastRenderedPageBreak/>
              <w:t>использованию материально-технической базы.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</w:t>
            </w:r>
            <w:r>
              <w:rPr>
                <w:rFonts w:ascii="Times New Roman" w:hAnsi="Times New Roman"/>
              </w:rPr>
              <w:lastRenderedPageBreak/>
              <w:t>определенных Стратегией научно-технологического развития.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кадровых,  материально-технических и финансовых ресурсов для реализации ИУП.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</w:t>
            </w:r>
            <w:r w:rsidR="00D656D6">
              <w:rPr>
                <w:rFonts w:ascii="Times New Roman" w:hAnsi="Times New Roman"/>
              </w:rPr>
              <w:t>контроля своевременного</w:t>
            </w:r>
            <w:r>
              <w:rPr>
                <w:rFonts w:ascii="Times New Roman" w:hAnsi="Times New Roman"/>
              </w:rPr>
              <w:t xml:space="preserve"> оформления  заказа на </w:t>
            </w:r>
            <w:r>
              <w:rPr>
                <w:rFonts w:ascii="Times New Roman" w:hAnsi="Times New Roman"/>
              </w:rPr>
              <w:lastRenderedPageBreak/>
              <w:t>обеспечение общеобразовательной организации учебниками и учебными пособиями в полном объеме.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 используются возможности реализации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программы в сетевой форме.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</w:t>
            </w:r>
            <w:r>
              <w:rPr>
                <w:rFonts w:ascii="Times New Roman" w:hAnsi="Times New Roman"/>
              </w:rPr>
              <w:lastRenderedPageBreak/>
              <w:t>дефицитов, заключение сетевых договоров, мониторинг.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</w:t>
            </w:r>
            <w:r>
              <w:rPr>
                <w:rFonts w:ascii="Times New Roman" w:hAnsi="Times New Roman"/>
              </w:rPr>
              <w:lastRenderedPageBreak/>
              <w:t>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ЕГЭ, по </w:t>
            </w:r>
            <w:r>
              <w:rPr>
                <w:rFonts w:ascii="Times New Roman" w:hAnsi="Times New Roman"/>
              </w:rPr>
              <w:lastRenderedPageBreak/>
              <w:t>решению типовых заданий в формате ЕГЭ, консультаций по проблемным темам.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современных образовательных технологий, форм и </w:t>
            </w:r>
            <w:r>
              <w:rPr>
                <w:rFonts w:ascii="Times New Roman" w:hAnsi="Times New Roman"/>
              </w:rPr>
              <w:lastRenderedPageBreak/>
              <w:t>методов обучения при подготовке к ЕГЭ.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одааренными детьми, включающую выявление, поддержку и сопровождение, развитие интеллектуальной  одаренности.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 на различных этапах проведения олимпиады.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</w:t>
            </w:r>
            <w:r>
              <w:rPr>
                <w:rFonts w:ascii="Times New Roman" w:hAnsi="Times New Roman"/>
              </w:rPr>
              <w:lastRenderedPageBreak/>
              <w:t>организациями, представителями СМИ.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</w:t>
            </w:r>
            <w:r>
              <w:rPr>
                <w:rFonts w:ascii="Times New Roman" w:hAnsi="Times New Roman"/>
              </w:rPr>
              <w:lastRenderedPageBreak/>
              <w:t>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</w:t>
            </w:r>
            <w:r>
              <w:rPr>
                <w:rFonts w:ascii="Times New Roman" w:hAnsi="Times New Roman"/>
              </w:rPr>
              <w:lastRenderedPageBreak/>
              <w:t>(за исключением персональной информации, в том числе о состоянии здоровья обучающихся).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</w:t>
            </w:r>
            <w:r>
              <w:rPr>
                <w:rFonts w:ascii="Times New Roman" w:hAnsi="Times New Roman"/>
              </w:rPr>
              <w:lastRenderedPageBreak/>
              <w:t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</w:t>
            </w:r>
            <w:r>
              <w:rPr>
                <w:rFonts w:ascii="Times New Roman" w:hAnsi="Times New Roman"/>
              </w:rPr>
              <w:lastRenderedPageBreak/>
              <w:t>уровня сформированности психолого-педагогических компетенций.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специалистов, обладающих компетенциями под задачу. </w:t>
            </w:r>
            <w:r>
              <w:rPr>
                <w:rFonts w:ascii="Times New Roman" w:hAnsi="Times New Roman"/>
              </w:rPr>
              <w:lastRenderedPageBreak/>
              <w:t>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</w:t>
            </w:r>
            <w:r>
              <w:rPr>
                <w:rFonts w:ascii="Times New Roman" w:hAnsi="Times New Roman"/>
              </w:rPr>
              <w:lastRenderedPageBreak/>
              <w:t>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</w:t>
            </w:r>
            <w:r>
              <w:rPr>
                <w:rFonts w:ascii="Times New Roman" w:hAnsi="Times New Roman"/>
              </w:rPr>
              <w:lastRenderedPageBreak/>
              <w:t xml:space="preserve">спортивной деятельности в образовательную программу.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спортивным мероприятиям.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</w:t>
            </w:r>
            <w:r>
              <w:rPr>
                <w:rFonts w:ascii="Times New Roman" w:hAnsi="Times New Roman"/>
              </w:rPr>
              <w:lastRenderedPageBreak/>
              <w:t>для реализации дополнительного образования.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</w:t>
            </w:r>
            <w:r>
              <w:rPr>
                <w:rFonts w:ascii="Times New Roman" w:hAnsi="Times New Roman"/>
              </w:rPr>
              <w:lastRenderedPageBreak/>
              <w:t>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</w:t>
            </w:r>
            <w:r>
              <w:rPr>
                <w:rFonts w:ascii="Times New Roman" w:hAnsi="Times New Roman"/>
              </w:rPr>
              <w:lastRenderedPageBreak/>
              <w:t>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</w:t>
            </w:r>
            <w:r>
              <w:rPr>
                <w:rFonts w:ascii="Times New Roman" w:hAnsi="Times New Roman"/>
              </w:rPr>
              <w:lastRenderedPageBreak/>
              <w:t>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 в части организации сетевого взаимодействия.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др.)(критический показатель)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hAnsi="Times New Roma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</w:t>
            </w:r>
            <w:r>
              <w:rPr>
                <w:rFonts w:ascii="Times New Roman" w:hAnsi="Times New Roman"/>
              </w:rPr>
              <w:lastRenderedPageBreak/>
              <w:t>музыкальный коллектив, школьный медиацентр (телевидение, газета, журнал) и др.).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</w:t>
            </w:r>
            <w:r>
              <w:rPr>
                <w:rFonts w:ascii="Times New Roman" w:hAnsi="Times New Roman"/>
              </w:rPr>
              <w:lastRenderedPageBreak/>
              <w:t>организатора и педагогического коллектива по функционированию Школьного хора.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Функционирование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</w:t>
            </w:r>
            <w:r>
              <w:rPr>
                <w:rFonts w:ascii="Times New Roman" w:hAnsi="Times New Roman"/>
              </w:rPr>
              <w:lastRenderedPageBreak/>
              <w:t xml:space="preserve">палитру творческих объединений.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</w:t>
            </w:r>
            <w:r>
              <w:rPr>
                <w:rFonts w:ascii="Times New Roman" w:hAnsi="Times New Roman"/>
              </w:rPr>
              <w:lastRenderedPageBreak/>
              <w:t>программы, организации деятельности школьного медиацентра.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</w:t>
            </w:r>
            <w:r>
              <w:rPr>
                <w:rFonts w:ascii="Times New Roman" w:hAnsi="Times New Roman"/>
              </w:rPr>
              <w:lastRenderedPageBreak/>
              <w:t>педагогов, условий обучения и воспитания.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</w:t>
            </w:r>
            <w:r>
              <w:rPr>
                <w:rFonts w:ascii="Times New Roman" w:hAnsi="Times New Roman"/>
              </w:rPr>
              <w:lastRenderedPageBreak/>
              <w:t>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</w:t>
            </w:r>
            <w:r>
              <w:rPr>
                <w:rFonts w:ascii="Times New Roman" w:hAnsi="Times New Roman"/>
              </w:rPr>
              <w:lastRenderedPageBreak/>
              <w:t>заключенного договора об оказании туристских услуг.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D17018" w:rsidTr="00D656D6"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</w:tcPr>
          <w:p w:rsidR="00D17018" w:rsidRDefault="00D17018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 (критический показатель)</w:t>
            </w:r>
          </w:p>
        </w:tc>
        <w:tc>
          <w:tcPr>
            <w:tcW w:w="2267" w:type="dxa"/>
          </w:tcPr>
          <w:p w:rsidR="00D17018" w:rsidRDefault="00D17018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2270" w:type="dxa"/>
          </w:tcPr>
          <w:p w:rsidR="00D17018" w:rsidRDefault="00D170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844" w:type="dxa"/>
          </w:tcPr>
          <w:p w:rsidR="00D17018" w:rsidRDefault="00D17018"/>
        </w:tc>
        <w:tc>
          <w:tcPr>
            <w:tcW w:w="4783" w:type="dxa"/>
          </w:tcPr>
          <w:p w:rsidR="00D17018" w:rsidRDefault="00D17018"/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17018" w:rsidTr="00D656D6"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267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2270" w:type="dxa"/>
            <w:vMerge w:val="restart"/>
          </w:tcPr>
          <w:p w:rsidR="00D17018" w:rsidRDefault="00D1701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17018" w:rsidTr="00D656D6">
        <w:tc>
          <w:tcPr>
            <w:tcW w:w="0" w:type="auto"/>
            <w:vMerge/>
          </w:tcPr>
          <w:p w:rsidR="00D17018" w:rsidRDefault="00D17018"/>
        </w:tc>
        <w:tc>
          <w:tcPr>
            <w:tcW w:w="0" w:type="auto"/>
            <w:vMerge/>
          </w:tcPr>
          <w:p w:rsidR="00D17018" w:rsidRDefault="00D17018"/>
        </w:tc>
        <w:tc>
          <w:tcPr>
            <w:tcW w:w="2267" w:type="dxa"/>
            <w:vMerge/>
          </w:tcPr>
          <w:p w:rsidR="00D17018" w:rsidRDefault="00D17018"/>
        </w:tc>
        <w:tc>
          <w:tcPr>
            <w:tcW w:w="2270" w:type="dxa"/>
            <w:vMerge/>
          </w:tcPr>
          <w:p w:rsidR="00D17018" w:rsidRDefault="00D17018"/>
        </w:tc>
        <w:tc>
          <w:tcPr>
            <w:tcW w:w="2844" w:type="dxa"/>
          </w:tcPr>
          <w:p w:rsidR="00D17018" w:rsidRDefault="00D1701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4783" w:type="dxa"/>
          </w:tcPr>
          <w:p w:rsidR="00D17018" w:rsidRDefault="00D170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</w:tbl>
    <w:p w:rsidR="00FB305E" w:rsidRPr="00D4125C" w:rsidRDefault="00FB305E" w:rsidP="00D170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D17018">
      <w:headerReference w:type="default" r:id="rId8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0C" w:rsidRDefault="00483F0C">
      <w:pPr>
        <w:spacing w:after="0" w:line="240" w:lineRule="auto"/>
      </w:pPr>
      <w:r>
        <w:separator/>
      </w:r>
    </w:p>
  </w:endnote>
  <w:endnote w:type="continuationSeparator" w:id="0">
    <w:p w:rsidR="00483F0C" w:rsidRDefault="004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0C" w:rsidRDefault="00483F0C">
      <w:pPr>
        <w:spacing w:after="0" w:line="240" w:lineRule="auto"/>
      </w:pPr>
      <w:r>
        <w:separator/>
      </w:r>
    </w:p>
  </w:footnote>
  <w:footnote w:type="continuationSeparator" w:id="0">
    <w:p w:rsidR="00483F0C" w:rsidRDefault="004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D17018" w:rsidRDefault="00D17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76">
          <w:rPr>
            <w:noProof/>
          </w:rPr>
          <w:t>7</w:t>
        </w:r>
        <w:r>
          <w:fldChar w:fldCharType="end"/>
        </w:r>
      </w:p>
    </w:sdtContent>
  </w:sdt>
  <w:p w:rsidR="00D17018" w:rsidRDefault="00D17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A90D536">
      <w:numFmt w:val="decimal"/>
      <w:lvlText w:val=""/>
      <w:lvlJc w:val="left"/>
    </w:lvl>
    <w:lvl w:ilvl="2" w:tplc="FA424956">
      <w:numFmt w:val="decimal"/>
      <w:lvlText w:val=""/>
      <w:lvlJc w:val="left"/>
    </w:lvl>
    <w:lvl w:ilvl="3" w:tplc="C406B4BA">
      <w:numFmt w:val="decimal"/>
      <w:lvlText w:val=""/>
      <w:lvlJc w:val="left"/>
    </w:lvl>
    <w:lvl w:ilvl="4" w:tplc="D0306476">
      <w:numFmt w:val="decimal"/>
      <w:lvlText w:val=""/>
      <w:lvlJc w:val="left"/>
    </w:lvl>
    <w:lvl w:ilvl="5" w:tplc="5E984EA4">
      <w:numFmt w:val="decimal"/>
      <w:lvlText w:val=""/>
      <w:lvlJc w:val="left"/>
    </w:lvl>
    <w:lvl w:ilvl="6" w:tplc="6C00A232">
      <w:numFmt w:val="decimal"/>
      <w:lvlText w:val=""/>
      <w:lvlJc w:val="left"/>
    </w:lvl>
    <w:lvl w:ilvl="7" w:tplc="CA4EA16C">
      <w:numFmt w:val="decimal"/>
      <w:lvlText w:val=""/>
      <w:lvlJc w:val="left"/>
    </w:lvl>
    <w:lvl w:ilvl="8" w:tplc="5C1620E8">
      <w:numFmt w:val="decimal"/>
      <w:lvlText w:val=""/>
      <w:lvlJc w:val="left"/>
    </w:lvl>
  </w:abstractNum>
  <w:abstractNum w:abstractNumId="1" w15:restartNumberingAfterBreak="0">
    <w:nsid w:val="3A673201"/>
    <w:multiLevelType w:val="multilevel"/>
    <w:tmpl w:val="358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1229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C61A5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10D13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83F0C"/>
    <w:rsid w:val="00495419"/>
    <w:rsid w:val="00496494"/>
    <w:rsid w:val="004A1535"/>
    <w:rsid w:val="004A3410"/>
    <w:rsid w:val="004B0E2F"/>
    <w:rsid w:val="004C2689"/>
    <w:rsid w:val="004C4E25"/>
    <w:rsid w:val="00504B66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A1F76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83DE1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17018"/>
    <w:rsid w:val="00D231CC"/>
    <w:rsid w:val="00D232AF"/>
    <w:rsid w:val="00D34140"/>
    <w:rsid w:val="00D4125C"/>
    <w:rsid w:val="00D476E0"/>
    <w:rsid w:val="00D54EA9"/>
    <w:rsid w:val="00D656D6"/>
    <w:rsid w:val="00D90F0F"/>
    <w:rsid w:val="00DA7B95"/>
    <w:rsid w:val="00DB53DE"/>
    <w:rsid w:val="00DF76CA"/>
    <w:rsid w:val="00E06E80"/>
    <w:rsid w:val="00E13C12"/>
    <w:rsid w:val="00E1645C"/>
    <w:rsid w:val="00E3729D"/>
    <w:rsid w:val="00E434E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8468B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semiHidden/>
    <w:unhideWhenUsed/>
    <w:qFormat/>
    <w:rsid w:val="00D656D6"/>
    <w:pPr>
      <w:widowControl w:val="0"/>
      <w:autoSpaceDE w:val="0"/>
      <w:autoSpaceDN w:val="0"/>
      <w:spacing w:after="0" w:line="240" w:lineRule="auto"/>
      <w:ind w:left="3659"/>
    </w:pPr>
    <w:rPr>
      <w:rFonts w:ascii="Times New Roman" w:eastAsia="Times New Roman" w:hAnsi="Times New Roman" w:cs="Times New Roman"/>
      <w:lang w:val="en-US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D656D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5AA5-6801-40EF-A99F-C8804A6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18872</Words>
  <Characters>107577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HP</cp:lastModifiedBy>
  <cp:revision>2</cp:revision>
  <cp:lastPrinted>2023-08-02T05:33:00Z</cp:lastPrinted>
  <dcterms:created xsi:type="dcterms:W3CDTF">2024-11-25T10:07:00Z</dcterms:created>
  <dcterms:modified xsi:type="dcterms:W3CDTF">2024-11-25T10:07:00Z</dcterms:modified>
</cp:coreProperties>
</file>